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line="480" w:lineRule="auto"/>
        <w:jc w:val="left"/>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02">
      <w:pPr>
        <w:shd w:fill="ffffff" w:val="clear"/>
        <w:spacing w:line="480" w:lineRule="auto"/>
        <w:jc w:val="left"/>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03">
      <w:pPr>
        <w:shd w:fill="ffffff" w:val="clear"/>
        <w:spacing w:line="480" w:lineRule="auto"/>
        <w:jc w:val="left"/>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04">
      <w:pPr>
        <w:shd w:fill="ffffff" w:val="clear"/>
        <w:spacing w:line="480" w:lineRule="auto"/>
        <w:jc w:val="left"/>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05">
      <w:pPr>
        <w:shd w:fill="ffffff" w:val="clear"/>
        <w:spacing w:line="480" w:lineRule="auto"/>
        <w:jc w:val="left"/>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06">
      <w:pPr>
        <w:shd w:fill="ffffff" w:val="clear"/>
        <w:spacing w:line="480" w:lineRule="auto"/>
        <w:jc w:val="left"/>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07">
      <w:pPr>
        <w:shd w:fill="ffffff" w:val="clear"/>
        <w:spacing w:line="480" w:lineRule="auto"/>
        <w:jc w:val="center"/>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08">
      <w:pPr>
        <w:shd w:fill="ffffff" w:val="clear"/>
        <w:spacing w:line="480" w:lineRule="auto"/>
        <w:jc w:val="center"/>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09">
      <w:pPr>
        <w:shd w:fill="ffffff" w:val="clear"/>
        <w:spacing w:line="480" w:lineRule="auto"/>
        <w:jc w:val="center"/>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Religion and Theology, Islam</w:t>
      </w:r>
    </w:p>
    <w:p w:rsidR="00000000" w:rsidDel="00000000" w:rsidP="00000000" w:rsidRDefault="00000000" w:rsidRPr="00000000" w14:paraId="0000000A">
      <w:pPr>
        <w:shd w:fill="ffffff" w:val="clear"/>
        <w:spacing w:line="480" w:lineRule="auto"/>
        <w:jc w:val="center"/>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Name</w:t>
      </w:r>
    </w:p>
    <w:p w:rsidR="00000000" w:rsidDel="00000000" w:rsidP="00000000" w:rsidRDefault="00000000" w:rsidRPr="00000000" w14:paraId="0000000B">
      <w:pPr>
        <w:shd w:fill="ffffff" w:val="clear"/>
        <w:spacing w:line="480" w:lineRule="auto"/>
        <w:jc w:val="center"/>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Instructor’s Name</w:t>
      </w:r>
    </w:p>
    <w:p w:rsidR="00000000" w:rsidDel="00000000" w:rsidP="00000000" w:rsidRDefault="00000000" w:rsidRPr="00000000" w14:paraId="0000000C">
      <w:pPr>
        <w:shd w:fill="ffffff" w:val="clear"/>
        <w:spacing w:line="480" w:lineRule="auto"/>
        <w:jc w:val="center"/>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Institution</w:t>
      </w:r>
    </w:p>
    <w:p w:rsidR="00000000" w:rsidDel="00000000" w:rsidP="00000000" w:rsidRDefault="00000000" w:rsidRPr="00000000" w14:paraId="0000000D">
      <w:pPr>
        <w:shd w:fill="ffffff" w:val="clear"/>
        <w:spacing w:line="480" w:lineRule="auto"/>
        <w:jc w:val="center"/>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Course </w:t>
      </w:r>
    </w:p>
    <w:p w:rsidR="00000000" w:rsidDel="00000000" w:rsidP="00000000" w:rsidRDefault="00000000" w:rsidRPr="00000000" w14:paraId="0000000E">
      <w:pPr>
        <w:shd w:fill="ffffff" w:val="clear"/>
        <w:spacing w:line="480" w:lineRule="auto"/>
        <w:jc w:val="center"/>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Date</w:t>
      </w:r>
      <w:r w:rsidDel="00000000" w:rsidR="00000000" w:rsidRPr="00000000">
        <w:rPr>
          <w:rtl w:val="0"/>
        </w:rPr>
      </w:r>
    </w:p>
    <w:p w:rsidR="00000000" w:rsidDel="00000000" w:rsidP="00000000" w:rsidRDefault="00000000" w:rsidRPr="00000000" w14:paraId="0000000F">
      <w:pPr>
        <w:shd w:fill="ffffff" w:val="clear"/>
        <w:spacing w:line="480" w:lineRule="auto"/>
        <w:rPr>
          <w:rFonts w:ascii="Times New Roman" w:cs="Times New Roman" w:eastAsia="Times New Roman" w:hAnsi="Times New Roman"/>
          <w:b w:val="1"/>
          <w:color w:val="0e101a"/>
          <w:sz w:val="24"/>
          <w:szCs w:val="24"/>
          <w:highlight w:val="white"/>
        </w:rPr>
      </w:pPr>
      <w:r w:rsidDel="00000000" w:rsidR="00000000" w:rsidRPr="00000000">
        <w:rPr>
          <w:rtl w:val="0"/>
        </w:rPr>
      </w:r>
    </w:p>
    <w:p w:rsidR="00000000" w:rsidDel="00000000" w:rsidP="00000000" w:rsidRDefault="00000000" w:rsidRPr="00000000" w14:paraId="00000010">
      <w:pPr>
        <w:shd w:fill="ffffff" w:val="clear"/>
        <w:spacing w:line="480" w:lineRule="auto"/>
        <w:rPr>
          <w:rFonts w:ascii="Times New Roman" w:cs="Times New Roman" w:eastAsia="Times New Roman" w:hAnsi="Times New Roman"/>
          <w:b w:val="1"/>
          <w:color w:val="0e101a"/>
          <w:sz w:val="24"/>
          <w:szCs w:val="24"/>
          <w:highlight w:val="white"/>
        </w:rPr>
      </w:pPr>
      <w:r w:rsidDel="00000000" w:rsidR="00000000" w:rsidRPr="00000000">
        <w:rPr>
          <w:rtl w:val="0"/>
        </w:rPr>
      </w:r>
    </w:p>
    <w:p w:rsidR="00000000" w:rsidDel="00000000" w:rsidP="00000000" w:rsidRDefault="00000000" w:rsidRPr="00000000" w14:paraId="00000011">
      <w:pPr>
        <w:shd w:fill="ffffff" w:val="clear"/>
        <w:spacing w:line="480" w:lineRule="auto"/>
        <w:rPr>
          <w:rFonts w:ascii="Times New Roman" w:cs="Times New Roman" w:eastAsia="Times New Roman" w:hAnsi="Times New Roman"/>
          <w:b w:val="1"/>
          <w:color w:val="0e101a"/>
          <w:sz w:val="24"/>
          <w:szCs w:val="24"/>
          <w:highlight w:val="white"/>
        </w:rPr>
      </w:pPr>
      <w:r w:rsidDel="00000000" w:rsidR="00000000" w:rsidRPr="00000000">
        <w:rPr>
          <w:rtl w:val="0"/>
        </w:rPr>
      </w:r>
    </w:p>
    <w:p w:rsidR="00000000" w:rsidDel="00000000" w:rsidP="00000000" w:rsidRDefault="00000000" w:rsidRPr="00000000" w14:paraId="00000012">
      <w:pPr>
        <w:shd w:fill="ffffff" w:val="clear"/>
        <w:spacing w:line="480" w:lineRule="auto"/>
        <w:rPr>
          <w:rFonts w:ascii="Times New Roman" w:cs="Times New Roman" w:eastAsia="Times New Roman" w:hAnsi="Times New Roman"/>
          <w:b w:val="1"/>
          <w:color w:val="0e101a"/>
          <w:sz w:val="24"/>
          <w:szCs w:val="24"/>
          <w:highlight w:val="white"/>
        </w:rPr>
      </w:pPr>
      <w:r w:rsidDel="00000000" w:rsidR="00000000" w:rsidRPr="00000000">
        <w:rPr>
          <w:rtl w:val="0"/>
        </w:rPr>
      </w:r>
    </w:p>
    <w:p w:rsidR="00000000" w:rsidDel="00000000" w:rsidP="00000000" w:rsidRDefault="00000000" w:rsidRPr="00000000" w14:paraId="00000013">
      <w:pPr>
        <w:shd w:fill="ffffff" w:val="clear"/>
        <w:spacing w:line="480" w:lineRule="auto"/>
        <w:rPr>
          <w:rFonts w:ascii="Times New Roman" w:cs="Times New Roman" w:eastAsia="Times New Roman" w:hAnsi="Times New Roman"/>
          <w:b w:val="1"/>
          <w:color w:val="0e101a"/>
          <w:sz w:val="24"/>
          <w:szCs w:val="24"/>
          <w:highlight w:val="white"/>
        </w:rPr>
      </w:pPr>
      <w:r w:rsidDel="00000000" w:rsidR="00000000" w:rsidRPr="00000000">
        <w:rPr>
          <w:rtl w:val="0"/>
        </w:rPr>
      </w:r>
    </w:p>
    <w:p w:rsidR="00000000" w:rsidDel="00000000" w:rsidP="00000000" w:rsidRDefault="00000000" w:rsidRPr="00000000" w14:paraId="00000014">
      <w:pPr>
        <w:shd w:fill="ffffff" w:val="clear"/>
        <w:spacing w:line="480" w:lineRule="auto"/>
        <w:rPr>
          <w:rFonts w:ascii="Times New Roman" w:cs="Times New Roman" w:eastAsia="Times New Roman" w:hAnsi="Times New Roman"/>
          <w:b w:val="1"/>
          <w:color w:val="0e101a"/>
          <w:sz w:val="24"/>
          <w:szCs w:val="24"/>
          <w:highlight w:val="white"/>
        </w:rPr>
      </w:pPr>
      <w:r w:rsidDel="00000000" w:rsidR="00000000" w:rsidRPr="00000000">
        <w:rPr>
          <w:rtl w:val="0"/>
        </w:rPr>
      </w:r>
    </w:p>
    <w:p w:rsidR="00000000" w:rsidDel="00000000" w:rsidP="00000000" w:rsidRDefault="00000000" w:rsidRPr="00000000" w14:paraId="00000015">
      <w:pPr>
        <w:shd w:fill="ffffff" w:val="clear"/>
        <w:spacing w:line="480" w:lineRule="auto"/>
        <w:rPr>
          <w:rFonts w:ascii="Times New Roman" w:cs="Times New Roman" w:eastAsia="Times New Roman" w:hAnsi="Times New Roman"/>
          <w:b w:val="1"/>
          <w:color w:val="0e101a"/>
          <w:sz w:val="24"/>
          <w:szCs w:val="24"/>
          <w:highlight w:val="white"/>
        </w:rPr>
      </w:pPr>
      <w:r w:rsidDel="00000000" w:rsidR="00000000" w:rsidRPr="00000000">
        <w:rPr>
          <w:rtl w:val="0"/>
        </w:rPr>
      </w:r>
    </w:p>
    <w:p w:rsidR="00000000" w:rsidDel="00000000" w:rsidP="00000000" w:rsidRDefault="00000000" w:rsidRPr="00000000" w14:paraId="00000016">
      <w:pPr>
        <w:shd w:fill="ffffff" w:val="clear"/>
        <w:spacing w:line="480" w:lineRule="auto"/>
        <w:rPr>
          <w:rFonts w:ascii="Times New Roman" w:cs="Times New Roman" w:eastAsia="Times New Roman" w:hAnsi="Times New Roman"/>
          <w:b w:val="1"/>
          <w:color w:val="0e101a"/>
          <w:sz w:val="24"/>
          <w:szCs w:val="24"/>
          <w:highlight w:val="white"/>
        </w:rPr>
      </w:pPr>
      <w:r w:rsidDel="00000000" w:rsidR="00000000" w:rsidRPr="00000000">
        <w:rPr>
          <w:rtl w:val="0"/>
        </w:rPr>
      </w:r>
    </w:p>
    <w:p w:rsidR="00000000" w:rsidDel="00000000" w:rsidP="00000000" w:rsidRDefault="00000000" w:rsidRPr="00000000" w14:paraId="00000017">
      <w:pPr>
        <w:shd w:fill="ffffff" w:val="clear"/>
        <w:spacing w:line="480" w:lineRule="auto"/>
        <w:rPr>
          <w:rFonts w:ascii="Times New Roman" w:cs="Times New Roman" w:eastAsia="Times New Roman" w:hAnsi="Times New Roman"/>
          <w:b w:val="1"/>
          <w:color w:val="0e101a"/>
          <w:sz w:val="24"/>
          <w:szCs w:val="24"/>
          <w:highlight w:val="white"/>
        </w:rPr>
      </w:pPr>
      <w:r w:rsidDel="00000000" w:rsidR="00000000" w:rsidRPr="00000000">
        <w:rPr>
          <w:rtl w:val="0"/>
        </w:rPr>
      </w:r>
    </w:p>
    <w:p w:rsidR="00000000" w:rsidDel="00000000" w:rsidP="00000000" w:rsidRDefault="00000000" w:rsidRPr="00000000" w14:paraId="00000018">
      <w:pPr>
        <w:shd w:fill="ffffff" w:val="clear"/>
        <w:spacing w:line="480" w:lineRule="auto"/>
        <w:rPr>
          <w:rFonts w:ascii="Times New Roman" w:cs="Times New Roman" w:eastAsia="Times New Roman" w:hAnsi="Times New Roman"/>
          <w:b w:val="1"/>
          <w:color w:val="0e101a"/>
          <w:sz w:val="24"/>
          <w:szCs w:val="24"/>
          <w:highlight w:val="white"/>
        </w:rPr>
      </w:pPr>
      <w:r w:rsidDel="00000000" w:rsidR="00000000" w:rsidRPr="00000000">
        <w:rPr>
          <w:rtl w:val="0"/>
        </w:rPr>
      </w:r>
    </w:p>
    <w:p w:rsidR="00000000" w:rsidDel="00000000" w:rsidP="00000000" w:rsidRDefault="00000000" w:rsidRPr="00000000" w14:paraId="00000019">
      <w:pPr>
        <w:shd w:fill="ffffff" w:val="clear"/>
        <w:spacing w:line="480" w:lineRule="auto"/>
        <w:rPr>
          <w:rFonts w:ascii="Times New Roman" w:cs="Times New Roman" w:eastAsia="Times New Roman" w:hAnsi="Times New Roman"/>
          <w:b w:val="1"/>
          <w:color w:val="0e101a"/>
          <w:sz w:val="24"/>
          <w:szCs w:val="24"/>
          <w:highlight w:val="white"/>
        </w:rPr>
      </w:pPr>
      <w:r w:rsidDel="00000000" w:rsidR="00000000" w:rsidRPr="00000000">
        <w:rPr>
          <w:rtl w:val="0"/>
        </w:rPr>
      </w:r>
    </w:p>
    <w:p w:rsidR="00000000" w:rsidDel="00000000" w:rsidP="00000000" w:rsidRDefault="00000000" w:rsidRPr="00000000" w14:paraId="0000001A">
      <w:pPr>
        <w:shd w:fill="ffffff" w:val="clear"/>
        <w:spacing w:line="480" w:lineRule="auto"/>
        <w:jc w:val="center"/>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Question 1</w:t>
      </w:r>
    </w:p>
    <w:p w:rsidR="00000000" w:rsidDel="00000000" w:rsidP="00000000" w:rsidRDefault="00000000" w:rsidRPr="00000000" w14:paraId="0000001B">
      <w:pPr>
        <w:shd w:fill="ffffff" w:val="clea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The statement that the main difference in religion is not indifferent religions it is within the same religion which has various cultures and beliefs is true in Islam. To start with, it is good to note that there is Shia and Sunni. In the view of these two groups in Islam, Sunni follows the teachings of Mohammed whereas Shia follows the teachings of the cousin of Mohammed. The problem arises where these two groups fail to come to terms with various concepts and practices of the religion and hence cause a fight. in some of the Islamic states which have been experiencing wars(Lakitsch, 2018), the conflict has been between these two groups which have not been agreeing on different practices. Though they are both within Islam, they kill each other and condemn each other due to their differences in opinions. </w:t>
      </w:r>
    </w:p>
    <w:p w:rsidR="00000000" w:rsidDel="00000000" w:rsidP="00000000" w:rsidRDefault="00000000" w:rsidRPr="00000000" w14:paraId="0000001C">
      <w:pPr>
        <w:shd w:fill="ffffff" w:val="clea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Sunni makes up the biggest group and it has been taking advantage of this opportunity to inflict chaos and persecute the Shia. in some cases, the two groups have been engaging in the way hence proving the statement which has been provided in this case. It would be understandable if the given fight was between two different religions. the issue is that these two groups are within the same religion yet they cannot come to terms with the aspects of the religion where one group blames the other for different reasons hence causing intense fights(Lakitsch, 2018).</w:t>
      </w:r>
    </w:p>
    <w:p w:rsidR="00000000" w:rsidDel="00000000" w:rsidP="00000000" w:rsidRDefault="00000000" w:rsidRPr="00000000" w14:paraId="0000001D">
      <w:pPr>
        <w:shd w:fill="ffffff" w:val="clear"/>
        <w:spacing w:line="480" w:lineRule="auto"/>
        <w:jc w:val="center"/>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Question 2</w:t>
      </w:r>
    </w:p>
    <w:p w:rsidR="00000000" w:rsidDel="00000000" w:rsidP="00000000" w:rsidRDefault="00000000" w:rsidRPr="00000000" w14:paraId="0000001E">
      <w:pPr>
        <w:shd w:fill="ffffff" w:val="clea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Islam supports preaching the religion. It is kind of, a part of the religion. However, it is not a must-have obligation. But Islam does support the idea of supporting Muslims as they say that All Muslims are brothers and sisters to each other in terms of faith. This system to preach and support fellow Muslims also helps to provide a safe space for Muslims to practice their religious rituals. This system is to keep the Muslim communities together and spread the word(Alfaraidy, 2017). That is why if someone wants to leave the religion, they think a hundred times before doing so. Even though there are similar patterns of religious traditions across Muslims, it would be both incorrect and erroneous not to acknowledge the enormous variation among Muslims. Furthermore, inequalities in devotion to inherited ideas and ways of life must be acknowledged, just as they do in every society.</w:t>
      </w:r>
    </w:p>
    <w:p w:rsidR="00000000" w:rsidDel="00000000" w:rsidP="00000000" w:rsidRDefault="00000000" w:rsidRPr="00000000" w14:paraId="0000001F">
      <w:pPr>
        <w:shd w:fill="ffffff" w:val="clear"/>
        <w:spacing w:line="480" w:lineRule="auto"/>
        <w:jc w:val="center"/>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Question 3</w:t>
      </w:r>
    </w:p>
    <w:p w:rsidR="00000000" w:rsidDel="00000000" w:rsidP="00000000" w:rsidRDefault="00000000" w:rsidRPr="00000000" w14:paraId="00000020">
      <w:pPr>
        <w:shd w:fill="ffffff" w:val="clea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Islam needs to consider some approaches to change the state of the situation in the country to ensure equality for women. one of how this can be done is through the change of culture and practices. The idea that men are superior to women is the one that has affected people to a great extent. when this view is eliminated and all people are seen as equal beings, the idea of equality will not be an issue considering that the groups with pursue to allow women to participate in different events and activities as it is required(Duderija, 2020). Though this is the case, it is possible that the approach of changing the culture of the people is not something that can be achieved easily. </w:t>
      </w:r>
    </w:p>
    <w:p w:rsidR="00000000" w:rsidDel="00000000" w:rsidP="00000000" w:rsidRDefault="00000000" w:rsidRPr="00000000" w14:paraId="00000021">
      <w:pPr>
        <w:shd w:fill="ffffff" w:val="clea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It is good for men to stop being selfish. when women are denied some rights by men, there is evidence of selfishness considering that men look only at the things which can benefit them at the expense of the women. This selfishness is a huge issue that is likely to cause problems and already their things which can be observed. when cultures are changed, women can be educated and allowed to do different things. women also need to pursue their freedom through gaining an education. education will liberate women seeing that there is power in it. those Muslim women who have gone to school have understood their rights and they have stood and fought for their rights. This is the same thing which is is needed for the change of situation in the Islamic nations and other areas of the world.</w:t>
      </w:r>
    </w:p>
    <w:p w:rsidR="00000000" w:rsidDel="00000000" w:rsidP="00000000" w:rsidRDefault="00000000" w:rsidRPr="00000000" w14:paraId="00000022">
      <w:pPr>
        <w:shd w:fill="ffffff" w:val="clear"/>
        <w:spacing w:line="480" w:lineRule="auto"/>
        <w:jc w:val="center"/>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Question 4</w:t>
      </w:r>
    </w:p>
    <w:p w:rsidR="00000000" w:rsidDel="00000000" w:rsidP="00000000" w:rsidRDefault="00000000" w:rsidRPr="00000000" w14:paraId="00000023">
      <w:pPr>
        <w:shd w:fill="ffffff" w:val="clea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The Islamic religion seems to have a closed revelation. Since it was established, there hasn't been a lot of changes that have taken place regarding doctrine. Though this is the case, it is important to understand the fact that the way of worship has been affected in different ways. for example, just a few years ago the holy book of the religion Quran was only read in one language but this has changed considering that it has been translated into other languages. this, however, does not mean that the doctrine has changed, and thus it is likely that it will not change. in an incident where a new prophet would immerge or other teachings would be added, there are no possibilities of adopting them by Muslims seeing that they hold on strongly on the concepts of the religion which makes it difficult for new doctrines. </w:t>
      </w:r>
    </w:p>
    <w:p w:rsidR="00000000" w:rsidDel="00000000" w:rsidP="00000000" w:rsidRDefault="00000000" w:rsidRPr="00000000" w14:paraId="00000024">
      <w:pPr>
        <w:shd w:fill="ffffff" w:val="clea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A new prophet would need to convince them strongly that he is credible and that the message that he brings can be trusted. This is because it is known that some preach or seek to change the teachings of this religion and thus it is clear that new teachings would not be accommodated. the former generation which comprises of old people would stand strong and the only likely generation that can be affected by such a case is only the millennials who seem to be influenced by a lot of things especially in the present days.</w:t>
      </w:r>
    </w:p>
    <w:p w:rsidR="00000000" w:rsidDel="00000000" w:rsidP="00000000" w:rsidRDefault="00000000" w:rsidRPr="00000000" w14:paraId="00000025">
      <w:pPr>
        <w:shd w:fill="ffffff" w:val="clear"/>
        <w:spacing w:line="480" w:lineRule="auto"/>
        <w:jc w:val="center"/>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Question 5</w:t>
      </w:r>
    </w:p>
    <w:p w:rsidR="00000000" w:rsidDel="00000000" w:rsidP="00000000" w:rsidRDefault="00000000" w:rsidRPr="00000000" w14:paraId="00000026">
      <w:pPr>
        <w:shd w:fill="ffffff" w:val="clea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In the United States, Islam is perhaps the most misconstrued and misinterpreted religious ideology, with its adherents seen as antiquated and "un-American." The stereotyping of Muslims in General in the United States necessitates a new sociological perspective that addresses the pervasive prejudice and racism that is rife in the United States today(Shakeel, 2018). Additionally, being among the minority groups in America they face all forms of discrimination making them among the poorest people in America. these forms of discrimination due to their religion limit their access to opportunities that the majority enjoy. During the period of Ramadan, the Muslims fast and pray for equity and fairness as required by Allah. These religious beliefs are however not respected by Americans.</w:t>
      </w:r>
    </w:p>
    <w:p w:rsidR="00000000" w:rsidDel="00000000" w:rsidP="00000000" w:rsidRDefault="00000000" w:rsidRPr="00000000" w14:paraId="00000027">
      <w:pPr>
        <w:shd w:fill="ffffff" w:val="clea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28">
      <w:pPr>
        <w:shd w:fill="ffffff" w:val="clea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29">
      <w:pPr>
        <w:shd w:fill="ffffff" w:val="clea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2A">
      <w:pPr>
        <w:shd w:fill="ffffff" w:val="clear"/>
        <w:spacing w:line="480" w:lineRule="auto"/>
        <w:jc w:val="center"/>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Question 6</w:t>
      </w:r>
    </w:p>
    <w:p w:rsidR="00000000" w:rsidDel="00000000" w:rsidP="00000000" w:rsidRDefault="00000000" w:rsidRPr="00000000" w14:paraId="0000002B">
      <w:pPr>
        <w:shd w:fill="ffffff" w:val="clea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The Quran Chapter 12:8 Indicates that it is not good to lose hope in the sight of Allah. In this case, people who are said to lose hope are regarded as unfaithful. It is therefore important to consider not losing seeing that some have turned backend they have faced condemnation. It is good to focus on the aspects of encouragement that have been provided and take heed not to lose hope for this has its consequences. people should therefore encourage themselves and ensure that that they can pray more and read the book for this ensures that they are encouraged even in times of trouble or seasons of adversity. </w:t>
      </w:r>
    </w:p>
    <w:p w:rsidR="00000000" w:rsidDel="00000000" w:rsidP="00000000" w:rsidRDefault="00000000" w:rsidRPr="00000000" w14:paraId="0000002C">
      <w:pPr>
        <w:shd w:fill="ffffff" w:val="clea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Giving up is not good for there are good things that are ahead and people should look forward to what is ahead and not give up or lose hope especially in the supreme being. It is necessary to consult texts for they offer encouragement for anyone who reads and exercises what has been written. As states, prayers are vital and that is the reason why people should attend prayers in the times which have been designed and ensure that they can gain the strength that they need to move on with life.</w:t>
      </w:r>
    </w:p>
    <w:p w:rsidR="00000000" w:rsidDel="00000000" w:rsidP="00000000" w:rsidRDefault="00000000" w:rsidRPr="00000000" w14:paraId="0000002D">
      <w:pPr>
        <w:shd w:fill="ffffff" w:val="clear"/>
        <w:spacing w:line="480" w:lineRule="auto"/>
        <w:ind w:firstLine="720"/>
        <w:jc w:val="center"/>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Question 7</w:t>
      </w:r>
    </w:p>
    <w:p w:rsidR="00000000" w:rsidDel="00000000" w:rsidP="00000000" w:rsidRDefault="00000000" w:rsidRPr="00000000" w14:paraId="0000002E">
      <w:pPr>
        <w:shd w:fill="ffffff" w:val="clea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The two pillars are important but it is important to consider the fact that the knowledge of the fact that there is no other deity except God and that Mohammed is the true messenger is important but one cannot be considered as a true follower of Allah without focussing on the five pillars. The 5 pillars are the ones that identify a true follower from the ones which are not true follows and thus it is crucial to understand the difference which is there and ensure that people can note the five pillars are the way of life of a believer and a person who identifies himself with the Islam. In this pillar(Ramadan, 2020), there is the aspect of giving alms to those who need help. </w:t>
      </w:r>
    </w:p>
    <w:p w:rsidR="00000000" w:rsidDel="00000000" w:rsidP="00000000" w:rsidRDefault="00000000" w:rsidRPr="00000000" w14:paraId="0000002F">
      <w:pPr>
        <w:shd w:fill="ffffff" w:val="clear"/>
        <w:spacing w:line="480" w:lineRule="auto"/>
        <w:ind w:firstLine="720"/>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If one recognizes that there is God and that Mohammed is the true messenger and does not work on the aspect of giving help to the needy they do not qualify completely and thus they stand in a risky position. additionally, in the 5 pillars, there is an aspect of prayer where every member is supposed to pray or make supplications for this is important. In such a case, it is essential to consider the fact that being a follower of the two testimonies without making prayers can be dangerous and one can be disqualified as a true follower or a member. Lastly, it is necessary for every believer to fast which is held in the five pillars and thus the two testimonies are not enough for there is a need for praying through fasting.</w:t>
      </w:r>
    </w:p>
    <w:p w:rsidR="00000000" w:rsidDel="00000000" w:rsidP="00000000" w:rsidRDefault="00000000" w:rsidRPr="00000000" w14:paraId="00000030">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 </w:t>
      </w:r>
    </w:p>
    <w:p w:rsidR="00000000" w:rsidDel="00000000" w:rsidP="00000000" w:rsidRDefault="00000000" w:rsidRPr="00000000" w14:paraId="00000031">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 </w:t>
      </w:r>
    </w:p>
    <w:p w:rsidR="00000000" w:rsidDel="00000000" w:rsidP="00000000" w:rsidRDefault="00000000" w:rsidRPr="00000000" w14:paraId="00000032">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33">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34">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35">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36">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37">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38">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39">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3A">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3B">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3C">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3D">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3E">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3F">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40">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41">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42">
      <w:pPr>
        <w:shd w:fill="ffffff" w:val="clear"/>
        <w:spacing w:line="480" w:lineRule="auto"/>
        <w:rPr>
          <w:rFonts w:ascii="Times New Roman" w:cs="Times New Roman" w:eastAsia="Times New Roman" w:hAnsi="Times New Roman"/>
          <w:color w:val="0e101a"/>
          <w:sz w:val="24"/>
          <w:szCs w:val="24"/>
          <w:highlight w:val="white"/>
        </w:rPr>
      </w:pPr>
      <w:r w:rsidDel="00000000" w:rsidR="00000000" w:rsidRPr="00000000">
        <w:rPr>
          <w:rtl w:val="0"/>
        </w:rPr>
      </w:r>
    </w:p>
    <w:p w:rsidR="00000000" w:rsidDel="00000000" w:rsidP="00000000" w:rsidRDefault="00000000" w:rsidRPr="00000000" w14:paraId="00000043">
      <w:pPr>
        <w:shd w:fill="ffffff" w:val="clear"/>
        <w:spacing w:line="480" w:lineRule="auto"/>
        <w:jc w:val="center"/>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Work Cited</w:t>
      </w:r>
    </w:p>
    <w:p w:rsidR="00000000" w:rsidDel="00000000" w:rsidP="00000000" w:rsidRDefault="00000000" w:rsidRPr="00000000" w14:paraId="00000044">
      <w:pPr>
        <w:shd w:fill="ffffff" w:val="clear"/>
        <w:spacing w:line="480" w:lineRule="auto"/>
        <w:ind w:left="720.0000000000001" w:hanging="720.0000000000001"/>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Ramadan, T. (2017). </w:t>
      </w:r>
      <w:r w:rsidDel="00000000" w:rsidR="00000000" w:rsidRPr="00000000">
        <w:rPr>
          <w:rFonts w:ascii="Times New Roman" w:cs="Times New Roman" w:eastAsia="Times New Roman" w:hAnsi="Times New Roman"/>
          <w:i w:val="1"/>
          <w:color w:val="0e101a"/>
          <w:sz w:val="24"/>
          <w:szCs w:val="24"/>
          <w:highlight w:val="white"/>
          <w:rtl w:val="0"/>
        </w:rPr>
        <w:t xml:space="preserve">Introduction to Islam</w:t>
      </w:r>
      <w:r w:rsidDel="00000000" w:rsidR="00000000" w:rsidRPr="00000000">
        <w:rPr>
          <w:rFonts w:ascii="Times New Roman" w:cs="Times New Roman" w:eastAsia="Times New Roman" w:hAnsi="Times New Roman"/>
          <w:color w:val="0e101a"/>
          <w:sz w:val="24"/>
          <w:szCs w:val="24"/>
          <w:highlight w:val="white"/>
          <w:rtl w:val="0"/>
        </w:rPr>
        <w:t xml:space="preserve">. Oxford University Press.</w:t>
      </w:r>
    </w:p>
    <w:p w:rsidR="00000000" w:rsidDel="00000000" w:rsidP="00000000" w:rsidRDefault="00000000" w:rsidRPr="00000000" w14:paraId="00000045">
      <w:pPr>
        <w:shd w:fill="ffffff" w:val="clear"/>
        <w:spacing w:line="480" w:lineRule="auto"/>
        <w:ind w:left="720.0000000000001" w:hanging="720.0000000000001"/>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Lakitsch, M. (2018). Islam in the Syrian war: Spotting the various dimensions of religion in conflict. </w:t>
      </w:r>
      <w:r w:rsidDel="00000000" w:rsidR="00000000" w:rsidRPr="00000000">
        <w:rPr>
          <w:rFonts w:ascii="Times New Roman" w:cs="Times New Roman" w:eastAsia="Times New Roman" w:hAnsi="Times New Roman"/>
          <w:i w:val="1"/>
          <w:color w:val="0e101a"/>
          <w:sz w:val="24"/>
          <w:szCs w:val="24"/>
          <w:highlight w:val="white"/>
          <w:rtl w:val="0"/>
        </w:rPr>
        <w:t xml:space="preserve">Religions</w:t>
      </w:r>
      <w:r w:rsidDel="00000000" w:rsidR="00000000" w:rsidRPr="00000000">
        <w:rPr>
          <w:rFonts w:ascii="Times New Roman" w:cs="Times New Roman" w:eastAsia="Times New Roman" w:hAnsi="Times New Roman"/>
          <w:color w:val="0e101a"/>
          <w:sz w:val="24"/>
          <w:szCs w:val="24"/>
          <w:highlight w:val="white"/>
          <w:rtl w:val="0"/>
        </w:rPr>
        <w:t xml:space="preserve">, </w:t>
      </w:r>
      <w:r w:rsidDel="00000000" w:rsidR="00000000" w:rsidRPr="00000000">
        <w:rPr>
          <w:rFonts w:ascii="Times New Roman" w:cs="Times New Roman" w:eastAsia="Times New Roman" w:hAnsi="Times New Roman"/>
          <w:i w:val="1"/>
          <w:color w:val="0e101a"/>
          <w:sz w:val="24"/>
          <w:szCs w:val="24"/>
          <w:highlight w:val="white"/>
          <w:rtl w:val="0"/>
        </w:rPr>
        <w:t xml:space="preserve">9</w:t>
      </w:r>
      <w:r w:rsidDel="00000000" w:rsidR="00000000" w:rsidRPr="00000000">
        <w:rPr>
          <w:rFonts w:ascii="Times New Roman" w:cs="Times New Roman" w:eastAsia="Times New Roman" w:hAnsi="Times New Roman"/>
          <w:color w:val="0e101a"/>
          <w:sz w:val="24"/>
          <w:szCs w:val="24"/>
          <w:highlight w:val="white"/>
          <w:rtl w:val="0"/>
        </w:rPr>
        <w:t xml:space="preserve">(8), 236.</w:t>
      </w:r>
    </w:p>
    <w:p w:rsidR="00000000" w:rsidDel="00000000" w:rsidP="00000000" w:rsidRDefault="00000000" w:rsidRPr="00000000" w14:paraId="00000046">
      <w:pPr>
        <w:shd w:fill="ffffff" w:val="clear"/>
        <w:spacing w:line="480" w:lineRule="auto"/>
        <w:ind w:left="720.0000000000001" w:hanging="720.0000000000001"/>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Alfaraidy, M., &amp; Furlan, R. (2017). Sense of community in Al-Wakrah city: Strategies for the development of sustainable communities in Qatar.</w:t>
      </w:r>
    </w:p>
    <w:p w:rsidR="00000000" w:rsidDel="00000000" w:rsidP="00000000" w:rsidRDefault="00000000" w:rsidRPr="00000000" w14:paraId="00000047">
      <w:pPr>
        <w:shd w:fill="ffffff" w:val="clear"/>
        <w:spacing w:line="480" w:lineRule="auto"/>
        <w:ind w:left="720.0000000000001" w:hanging="720.0000000000001"/>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Duderija, A. (2020). Contemporary Muslim Male Reformist Thought and Gender Equality Affirmative Interpretations of Islam. </w:t>
      </w:r>
      <w:r w:rsidDel="00000000" w:rsidR="00000000" w:rsidRPr="00000000">
        <w:rPr>
          <w:rFonts w:ascii="Times New Roman" w:cs="Times New Roman" w:eastAsia="Times New Roman" w:hAnsi="Times New Roman"/>
          <w:i w:val="1"/>
          <w:color w:val="0e101a"/>
          <w:sz w:val="24"/>
          <w:szCs w:val="24"/>
          <w:highlight w:val="white"/>
          <w:rtl w:val="0"/>
        </w:rPr>
        <w:t xml:space="preserve">Feminist Theology</w:t>
      </w:r>
      <w:r w:rsidDel="00000000" w:rsidR="00000000" w:rsidRPr="00000000">
        <w:rPr>
          <w:rFonts w:ascii="Times New Roman" w:cs="Times New Roman" w:eastAsia="Times New Roman" w:hAnsi="Times New Roman"/>
          <w:color w:val="0e101a"/>
          <w:sz w:val="24"/>
          <w:szCs w:val="24"/>
          <w:highlight w:val="white"/>
          <w:rtl w:val="0"/>
        </w:rPr>
        <w:t xml:space="preserve">, </w:t>
      </w:r>
      <w:r w:rsidDel="00000000" w:rsidR="00000000" w:rsidRPr="00000000">
        <w:rPr>
          <w:rFonts w:ascii="Times New Roman" w:cs="Times New Roman" w:eastAsia="Times New Roman" w:hAnsi="Times New Roman"/>
          <w:i w:val="1"/>
          <w:color w:val="0e101a"/>
          <w:sz w:val="24"/>
          <w:szCs w:val="24"/>
          <w:highlight w:val="white"/>
          <w:rtl w:val="0"/>
        </w:rPr>
        <w:t xml:space="preserve">28</w:t>
      </w:r>
      <w:r w:rsidDel="00000000" w:rsidR="00000000" w:rsidRPr="00000000">
        <w:rPr>
          <w:rFonts w:ascii="Times New Roman" w:cs="Times New Roman" w:eastAsia="Times New Roman" w:hAnsi="Times New Roman"/>
          <w:color w:val="0e101a"/>
          <w:sz w:val="24"/>
          <w:szCs w:val="24"/>
          <w:highlight w:val="white"/>
          <w:rtl w:val="0"/>
        </w:rPr>
        <w:t xml:space="preserve">(2), 161-181.</w:t>
      </w:r>
    </w:p>
    <w:p w:rsidR="00000000" w:rsidDel="00000000" w:rsidP="00000000" w:rsidRDefault="00000000" w:rsidRPr="00000000" w14:paraId="00000048">
      <w:pPr>
        <w:shd w:fill="ffffff" w:val="clear"/>
        <w:spacing w:line="480" w:lineRule="auto"/>
        <w:ind w:left="720.0000000000001" w:hanging="720.0000000000001"/>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0e101a"/>
          <w:sz w:val="24"/>
          <w:szCs w:val="24"/>
          <w:highlight w:val="white"/>
          <w:rtl w:val="0"/>
        </w:rPr>
        <w:t xml:space="preserve">Shakeel, M. (2018). Islamic schooling in the cultural West: A systematic review of the issues concerning school choice. </w:t>
      </w:r>
      <w:r w:rsidDel="00000000" w:rsidR="00000000" w:rsidRPr="00000000">
        <w:rPr>
          <w:rFonts w:ascii="Times New Roman" w:cs="Times New Roman" w:eastAsia="Times New Roman" w:hAnsi="Times New Roman"/>
          <w:i w:val="1"/>
          <w:color w:val="0e101a"/>
          <w:sz w:val="24"/>
          <w:szCs w:val="24"/>
          <w:highlight w:val="white"/>
          <w:rtl w:val="0"/>
        </w:rPr>
        <w:t xml:space="preserve">Religions</w:t>
      </w:r>
      <w:r w:rsidDel="00000000" w:rsidR="00000000" w:rsidRPr="00000000">
        <w:rPr>
          <w:rFonts w:ascii="Times New Roman" w:cs="Times New Roman" w:eastAsia="Times New Roman" w:hAnsi="Times New Roman"/>
          <w:color w:val="0e101a"/>
          <w:sz w:val="24"/>
          <w:szCs w:val="24"/>
          <w:highlight w:val="white"/>
          <w:rtl w:val="0"/>
        </w:rPr>
        <w:t xml:space="preserve">, </w:t>
      </w:r>
      <w:r w:rsidDel="00000000" w:rsidR="00000000" w:rsidRPr="00000000">
        <w:rPr>
          <w:rFonts w:ascii="Times New Roman" w:cs="Times New Roman" w:eastAsia="Times New Roman" w:hAnsi="Times New Roman"/>
          <w:i w:val="1"/>
          <w:color w:val="0e101a"/>
          <w:sz w:val="24"/>
          <w:szCs w:val="24"/>
          <w:highlight w:val="white"/>
          <w:rtl w:val="0"/>
        </w:rPr>
        <w:t xml:space="preserve">9</w:t>
      </w:r>
      <w:r w:rsidDel="00000000" w:rsidR="00000000" w:rsidRPr="00000000">
        <w:rPr>
          <w:rFonts w:ascii="Times New Roman" w:cs="Times New Roman" w:eastAsia="Times New Roman" w:hAnsi="Times New Roman"/>
          <w:color w:val="0e101a"/>
          <w:sz w:val="24"/>
          <w:szCs w:val="24"/>
          <w:highlight w:val="white"/>
          <w:rtl w:val="0"/>
        </w:rPr>
        <w:t xml:space="preserve">(12), 392.</w:t>
      </w:r>
    </w:p>
    <w:p w:rsidR="00000000" w:rsidDel="00000000" w:rsidP="00000000" w:rsidRDefault="00000000" w:rsidRPr="00000000" w14:paraId="00000049">
      <w:pPr>
        <w:shd w:fill="ffffff" w:val="clear"/>
        <w:spacing w:line="480" w:lineRule="auto"/>
        <w:ind w:left="720.0000000000001" w:hanging="720.0000000000001"/>
        <w:rPr>
          <w:rFonts w:ascii="Times New Roman" w:cs="Times New Roman" w:eastAsia="Times New Roman" w:hAnsi="Times New Roman"/>
          <w:color w:val="0e101a"/>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Syed, Z. F. (2020). Devotional Literature of the Prophet Muhammad in South Asia.</w:t>
      </w:r>
      <w:r w:rsidDel="00000000" w:rsidR="00000000" w:rsidRPr="00000000">
        <w:rPr>
          <w:rtl w:val="0"/>
        </w:rPr>
      </w:r>
    </w:p>
    <w:p w:rsidR="00000000" w:rsidDel="00000000" w:rsidP="00000000" w:rsidRDefault="00000000" w:rsidRPr="00000000" w14:paraId="0000004A">
      <w:pPr>
        <w:shd w:fill="ffffff" w:val="clear"/>
        <w:spacing w:after="220" w:before="220" w:line="480" w:lineRule="auto"/>
        <w:ind w:left="-220" w:right="-220" w:firstLine="0"/>
        <w:rPr>
          <w:rFonts w:ascii="Times New Roman" w:cs="Times New Roman" w:eastAsia="Times New Roman" w:hAnsi="Times New Roman"/>
          <w:b w:val="1"/>
          <w:color w:val="333333"/>
          <w:sz w:val="24"/>
          <w:szCs w:val="24"/>
          <w:highlight w:val="white"/>
        </w:rPr>
      </w:pPr>
      <w:r w:rsidDel="00000000" w:rsidR="00000000" w:rsidRPr="00000000">
        <w:rPr>
          <w:rtl w:val="0"/>
        </w:rPr>
      </w:r>
    </w:p>
    <w:sectPr>
      <w:headerReference r:id="rId6" w:type="default"/>
      <w:headerReference r:id="rId7" w:type="first"/>
      <w:footerReference r:id="rId8"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rPr/>
    </w:pPr>
    <w:r w:rsidDel="00000000" w:rsidR="00000000" w:rsidRPr="00000000">
      <w:rPr>
        <w:rtl w:val="0"/>
      </w:rPr>
      <w:t xml:space="preserve">RELIGION AND THEOLOGY, ISLAM</w:t>
    </w:r>
  </w:p>
  <w:p w:rsidR="00000000" w:rsidDel="00000000" w:rsidP="00000000" w:rsidRDefault="00000000" w:rsidRPr="00000000" w14:paraId="0000004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rPr/>
    </w:pPr>
    <w:r w:rsidDel="00000000" w:rsidR="00000000" w:rsidRPr="00000000">
      <w:rPr>
        <w:rtl w:val="0"/>
      </w:rPr>
      <w:t xml:space="preserve">Running Head: RELIGION AND THEOLOGY, ISLAM</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